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0C" w:rsidRDefault="00294A0C" w:rsidP="00294A0C">
      <w:pPr>
        <w:pStyle w:val="NormalWeb"/>
        <w:shd w:val="clear" w:color="auto" w:fill="FFFFFF"/>
        <w:spacing w:beforeLines="0" w:afterLines="0"/>
        <w:jc w:val="both"/>
        <w:rPr>
          <w:rFonts w:ascii="Tahoma" w:hAnsi="Tahoma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222222"/>
          <w:sz w:val="28"/>
          <w:szCs w:val="28"/>
        </w:rPr>
        <w:t>Signal 107 – Band 1 - £26.05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jc w:val="both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i/>
          <w:color w:val="222222"/>
          <w:sz w:val="28"/>
          <w:szCs w:val="28"/>
        </w:rPr>
        <w:t>Signal 107 combined</w:t>
      </w:r>
      <w:r>
        <w:rPr>
          <w:rFonts w:ascii="Times New Roman" w:hAnsi="Times New Roman"/>
          <w:color w:val="222222"/>
          <w:sz w:val="28"/>
          <w:szCs w:val="28"/>
        </w:rPr>
        <w:t> – Band 1 - £26.05 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>Pulse 1 – Band 1- £26.05                   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>Pulse 2 – Band 1 - £26.05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i/>
          <w:color w:val="222222"/>
          <w:sz w:val="28"/>
          <w:szCs w:val="28"/>
        </w:rPr>
        <w:t>Pulse 1 &amp; 2 combined - £26.05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>Wave FM – Band 1- £26.05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>Swansea Sound – Band 1 - £26.05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i/>
          <w:color w:val="222222"/>
          <w:sz w:val="28"/>
          <w:szCs w:val="28"/>
        </w:rPr>
        <w:t>Wave FM/Swansea Sound combined – Band 1 - £26.05  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>Signal One – Band 1 - £26.05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>Signal Two – Band 1 - £26.05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i/>
          <w:color w:val="222222"/>
          <w:sz w:val="28"/>
          <w:szCs w:val="28"/>
        </w:rPr>
        <w:t>Signal One &amp; Two combined – Band 2 - £36.55.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>There is also a correction to the Gaydio rates. They should be as follows;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>Gaydio - Entire Network - £48.50.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>Gaydio – London only - £36.55.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>Gaydio Community Station - £26.05.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jc w:val="both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i/>
          <w:color w:val="222222"/>
          <w:sz w:val="28"/>
          <w:szCs w:val="28"/>
        </w:rPr>
        <w:t> 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jc w:val="both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i/>
          <w:color w:val="222222"/>
          <w:sz w:val="28"/>
          <w:szCs w:val="28"/>
        </w:rPr>
        <w:t>Please remember the following rules </w:t>
      </w:r>
      <w:r>
        <w:rPr>
          <w:rFonts w:ascii="Times New Roman" w:hAnsi="Times New Roman"/>
          <w:i/>
          <w:color w:val="222222"/>
          <w:sz w:val="28"/>
          <w:szCs w:val="28"/>
          <w:u w:val="single"/>
        </w:rPr>
        <w:t>apply to all our agreements</w:t>
      </w:r>
      <w:r>
        <w:rPr>
          <w:rFonts w:ascii="Times New Roman" w:hAnsi="Times New Roman"/>
          <w:i/>
          <w:color w:val="222222"/>
          <w:sz w:val="28"/>
          <w:szCs w:val="28"/>
        </w:rPr>
        <w:t> with the radio station groups.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jc w:val="both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>One fee per voice performed per script per station.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jc w:val="both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>All remakes and tag changes are charged as individual scripts.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jc w:val="both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>Demo commercials are charged at the station rate.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jc w:val="both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>Rates are for radio commercials only, unless otherwise stated.</w:t>
      </w:r>
    </w:p>
    <w:p w:rsidR="00294A0C" w:rsidRDefault="00294A0C" w:rsidP="00294A0C">
      <w:pPr>
        <w:pStyle w:val="NormalWeb"/>
        <w:shd w:val="clear" w:color="auto" w:fill="FFFFFF"/>
        <w:spacing w:beforeLines="0" w:afterLines="0"/>
        <w:jc w:val="both"/>
        <w:rPr>
          <w:rFonts w:ascii="Tahoma" w:hAnsi="Tahoma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>Where an advertising agency/client or other person not directly employed by the producing company participates in an ISDN engagement a minimum premium of £126 per session will be charged.</w:t>
      </w:r>
    </w:p>
    <w:p w:rsidR="00576AED" w:rsidRDefault="00652F76"/>
    <w:sectPr w:rsidR="00576AED" w:rsidSect="007F07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0C"/>
    <w:rsid w:val="00294A0C"/>
    <w:rsid w:val="00652F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3B53124-BC5C-A54A-9F55-E36C254F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4A0C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Peter Dickson Ltd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Dickson</dc:creator>
  <cp:keywords/>
  <cp:lastModifiedBy>Microsoft Office User</cp:lastModifiedBy>
  <cp:revision>2</cp:revision>
  <dcterms:created xsi:type="dcterms:W3CDTF">2019-02-11T15:09:00Z</dcterms:created>
  <dcterms:modified xsi:type="dcterms:W3CDTF">2019-02-11T15:09:00Z</dcterms:modified>
</cp:coreProperties>
</file>